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jc w:val="center"/>
      </w:pPr>
      <w:r>
        <w:rPr>
          <w:rFonts w:ascii="微软雅黑" w:hAnsi="微软雅黑" w:eastAsia="微软雅黑"/>
          <w:b/>
          <w:color w:val="1F497D"/>
          <w:sz w:val="52"/>
        </w:rPr>
        <w:t>一二次融合成套柱上断路器</w:t>
      </w:r>
    </w:p>
    <w:p>
      <w:pPr>
        <w:jc w:val="center"/>
      </w:pPr>
      <w:r>
        <w:rPr>
          <w:rFonts w:ascii="微软雅黑" w:hAnsi="微软雅黑" w:eastAsia="微软雅黑"/>
          <w:b/>
          <w:color w:val="1F497D"/>
          <w:sz w:val="52"/>
        </w:rPr>
        <w:t>区域联合招标深度透视报告</w:t>
      </w:r>
    </w:p>
    <w:p>
      <w:pPr>
        <w:spacing w:before="600"/>
        <w:jc w:val="center"/>
      </w:pPr>
      <w:r>
        <w:rPr>
          <w:rFonts w:ascii="微软雅黑" w:hAnsi="微软雅黑" w:eastAsia="微软雅黑"/>
          <w:b w:val="0"/>
          <w:color w:val="595959"/>
          <w:sz w:val="28"/>
        </w:rPr>
        <w:t>2026年度第一批区域联合招标深度分析</w:t>
      </w:r>
    </w:p>
    <w:p>
      <w:pPr>
        <w:jc w:val="center"/>
      </w:pPr>
      <w:r>
        <w:rPr>
          <w:rFonts w:ascii="微软雅黑" w:hAnsi="微软雅黑" w:eastAsia="微软雅黑"/>
          <w:b w:val="0"/>
          <w:color w:val="808080"/>
          <w:sz w:val="22"/>
        </w:rPr>
        <w:t>来源：电力喵（微信公众号）</w:t>
      </w:r>
    </w:p>
    <w:p>
      <w:pPr>
        <w:jc w:val="center"/>
      </w:pPr>
      <w:r>
        <w:rPr>
          <w:rFonts w:ascii="微软雅黑" w:hAnsi="微软雅黑" w:eastAsia="微软雅黑"/>
          <w:b w:val="0"/>
          <w:color w:val="808080"/>
          <w:sz w:val="22"/>
        </w:rPr>
        <w:t>报告日期：2026年7月</w:t>
      </w:r>
    </w:p>
    <w:p>
      <w:r>
        <w:br w:type="page"/>
      </w:r>
    </w:p>
    <w:p>
      <w:pPr>
        <w:jc w:val="left"/>
      </w:pPr>
      <w:r>
        <w:rPr>
          <w:rFonts w:ascii="微软雅黑" w:hAnsi="微软雅黑" w:eastAsia="微软雅黑"/>
          <w:b/>
          <w:color w:val="1F497D"/>
          <w:sz w:val="36"/>
        </w:rPr>
        <w:t>目  录</w:t>
      </w:r>
    </w:p>
    <w:p>
      <w:pPr>
        <w:spacing w:before="120"/>
      </w:pPr>
      <w:r>
        <w:rPr>
          <w:rFonts w:ascii="微软雅黑" w:hAnsi="微软雅黑" w:eastAsia="微软雅黑"/>
          <w:b w:val="0"/>
          <w:sz w:val="24"/>
        </w:rPr>
        <w:t>一、报告概述</w:t>
      </w:r>
    </w:p>
    <w:p>
      <w:pPr>
        <w:spacing w:before="120"/>
      </w:pPr>
      <w:r>
        <w:rPr>
          <w:rFonts w:ascii="微软雅黑" w:hAnsi="微软雅黑" w:eastAsia="微软雅黑"/>
          <w:b w:val="0"/>
          <w:sz w:val="24"/>
        </w:rPr>
        <w:t>二、招标规模与区域分布</w:t>
      </w:r>
    </w:p>
    <w:p>
      <w:pPr>
        <w:spacing w:before="120"/>
      </w:pPr>
      <w:r>
        <w:rPr>
          <w:rFonts w:ascii="微软雅黑" w:hAnsi="微软雅黑" w:eastAsia="微软雅黑"/>
          <w:b w:val="0"/>
          <w:sz w:val="24"/>
        </w:rPr>
        <w:t>三、物资使用环境分布分析</w:t>
      </w:r>
    </w:p>
    <w:p>
      <w:pPr>
        <w:spacing w:before="120"/>
      </w:pPr>
      <w:r>
        <w:rPr>
          <w:rFonts w:ascii="微软雅黑" w:hAnsi="微软雅黑" w:eastAsia="微软雅黑"/>
          <w:b w:val="0"/>
          <w:sz w:val="24"/>
        </w:rPr>
        <w:t>四、融合类型与配置深度分析</w:t>
      </w:r>
    </w:p>
    <w:p>
      <w:pPr>
        <w:spacing w:before="120"/>
      </w:pPr>
      <w:r>
        <w:rPr>
          <w:rFonts w:ascii="微软雅黑" w:hAnsi="微软雅黑" w:eastAsia="微软雅黑"/>
          <w:b w:val="0"/>
          <w:sz w:val="24"/>
        </w:rPr>
        <w:t>五、与2025年度招标情况对比</w:t>
      </w:r>
    </w:p>
    <w:p>
      <w:pPr>
        <w:spacing w:before="120"/>
      </w:pPr>
      <w:r>
        <w:rPr>
          <w:rFonts w:ascii="微软雅黑" w:hAnsi="微软雅黑" w:eastAsia="微软雅黑"/>
          <w:b w:val="0"/>
          <w:sz w:val="24"/>
        </w:rPr>
        <w:t>六、企业资质能力要求</w:t>
      </w:r>
    </w:p>
    <w:p>
      <w:pPr>
        <w:spacing w:before="120"/>
      </w:pPr>
      <w:r>
        <w:rPr>
          <w:rFonts w:ascii="微软雅黑" w:hAnsi="微软雅黑" w:eastAsia="微软雅黑"/>
          <w:b w:val="0"/>
          <w:sz w:val="24"/>
        </w:rPr>
        <w:t>七、市场竞争格局分析</w:t>
      </w:r>
    </w:p>
    <w:p>
      <w:pPr>
        <w:spacing w:before="120"/>
      </w:pPr>
      <w:r>
        <w:rPr>
          <w:rFonts w:ascii="微软雅黑" w:hAnsi="微软雅黑" w:eastAsia="微软雅黑"/>
          <w:b w:val="0"/>
          <w:sz w:val="24"/>
        </w:rPr>
        <w:t>八、市场展望</w:t>
      </w:r>
    </w:p>
    <w:p>
      <w:pPr>
        <w:spacing w:before="120"/>
      </w:pPr>
      <w:r>
        <w:rPr>
          <w:rFonts w:ascii="微软雅黑" w:hAnsi="微软雅黑" w:eastAsia="微软雅黑"/>
          <w:b w:val="0"/>
          <w:sz w:val="24"/>
        </w:rPr>
        <w:t>九、核心结论</w:t>
      </w:r>
    </w:p>
    <w:p>
      <w:r>
        <w:br w:type="page"/>
      </w:r>
    </w:p>
    <w:p>
      <w:pPr>
        <w:jc w:val="left"/>
      </w:pPr>
      <w:r>
        <w:rPr>
          <w:rFonts w:ascii="微软雅黑" w:hAnsi="微软雅黑" w:eastAsia="微软雅黑"/>
          <w:b/>
          <w:color w:val="1F497D"/>
          <w:sz w:val="36"/>
        </w:rPr>
        <w:t>一、报告概述</w:t>
      </w:r>
    </w:p>
    <w:p>
      <w:r>
        <w:rPr>
          <w:rFonts w:ascii="微软雅黑" w:hAnsi="微软雅黑" w:eastAsia="微软雅黑"/>
          <w:b w:val="0"/>
          <w:sz w:val="22"/>
        </w:rPr>
        <w:t>本文围绕2026年度第一批一二次融合成套柱上断路器区域招标情况进行全面深度分析。本批次共24家项目单位参与，累计招标量约270,961只，预计市场规模约59亿元。</w:t>
      </w:r>
    </w:p>
    <w:p>
      <w:r>
        <w:rPr>
          <w:rFonts w:ascii="微软雅黑" w:hAnsi="微软雅黑" w:eastAsia="微软雅黑"/>
          <w:b w:val="0"/>
          <w:sz w:val="22"/>
        </w:rPr>
        <w:t>招标覆盖全国五大区域：华东（3省）、华中和川渝（5省）、华北（6省）、东北（4省）、西北和西藏（6省）。</w:t>
      </w:r>
    </w:p>
    <w:p>
      <w:pPr>
        <w:jc w:val="left"/>
      </w:pPr>
      <w:r>
        <w:rPr>
          <w:rFonts w:ascii="微软雅黑" w:hAnsi="微软雅黑" w:eastAsia="微软雅黑"/>
          <w:b/>
          <w:color w:val="1F497D"/>
          <w:sz w:val="36"/>
        </w:rPr>
        <w:t>二、招标规模与区域分布</w:t>
      </w:r>
    </w:p>
    <w:p>
      <w:pPr>
        <w:jc w:val="left"/>
      </w:pPr>
      <w:r>
        <w:rPr>
          <w:rFonts w:ascii="微软雅黑" w:hAnsi="微软雅黑" w:eastAsia="微软雅黑"/>
          <w:b/>
          <w:color w:val="000000"/>
          <w:sz w:val="28"/>
        </w:rPr>
        <w:t>2.1 整体规模</w:t>
      </w:r>
    </w:p>
    <w:tbl>
      <w:tblPr>
        <w:tblStyle w:val="TableGrid"/>
        <w:tblW w:type="auto" w:w="0"/>
        <w:jc w:val="center"/>
        <w:tblLook w:firstColumn="1" w:firstRow="1" w:lastColumn="0" w:lastRow="0" w:noHBand="0" w:noVBand="1" w:val="04A0"/>
      </w:tblPr>
      <w:tblGrid>
        <w:gridCol w:w="4536"/>
        <w:gridCol w:w="4536"/>
      </w:tblGrid>
      <w:tr>
        <w:tc>
          <w:tcPr>
            <w:tcW w:type="dxa" w:w="3969"/>
            <w:shd w:val="clear" w:color="auto" w:fill="1F497D"/>
          </w:tcPr>
          <w:p>
            <w:pPr>
              <w:jc w:val="center"/>
            </w:pPr>
            <w:r>
              <w:rPr>
                <w:rFonts w:ascii="微软雅黑" w:hAnsi="微软雅黑" w:eastAsia="微软雅黑"/>
                <w:b/>
                <w:color w:val="FFFFFF"/>
                <w:sz w:val="20"/>
              </w:rPr>
              <w:t>指标</w:t>
            </w:r>
          </w:p>
        </w:tc>
        <w:tc>
          <w:tcPr>
            <w:tcW w:type="dxa" w:w="3402"/>
            <w:shd w:val="clear" w:color="auto" w:fill="1F497D"/>
          </w:tcPr>
          <w:p>
            <w:pPr>
              <w:jc w:val="center"/>
            </w:pPr>
            <w:r>
              <w:rPr>
                <w:rFonts w:ascii="微软雅黑" w:hAnsi="微软雅黑" w:eastAsia="微软雅黑"/>
                <w:b/>
                <w:color w:val="FFFFFF"/>
                <w:sz w:val="20"/>
              </w:rPr>
              <w:t>数据</w:t>
            </w:r>
          </w:p>
        </w:tc>
      </w:tr>
      <w:tr>
        <w:tc>
          <w:tcPr>
            <w:tcW w:type="dxa" w:w="3969"/>
            <w:shd w:val="clear" w:color="auto" w:fill="DCE6F1"/>
          </w:tcPr>
          <w:p>
            <w:pPr>
              <w:jc w:val="center"/>
            </w:pPr>
            <w:r>
              <w:rPr>
                <w:rFonts w:ascii="微软雅黑" w:hAnsi="微软雅黑" w:eastAsia="微软雅黑"/>
                <w:b w:val="0"/>
                <w:sz w:val="20"/>
              </w:rPr>
              <w:t>参与项目单位数</w:t>
            </w:r>
          </w:p>
        </w:tc>
        <w:tc>
          <w:tcPr>
            <w:tcW w:type="dxa" w:w="3402"/>
            <w:shd w:val="clear" w:color="auto" w:fill="DCE6F1"/>
          </w:tcPr>
          <w:p>
            <w:pPr>
              <w:jc w:val="center"/>
            </w:pPr>
            <w:r>
              <w:rPr>
                <w:rFonts w:ascii="微软雅黑" w:hAnsi="微软雅黑" w:eastAsia="微软雅黑"/>
                <w:b w:val="0"/>
                <w:sz w:val="20"/>
              </w:rPr>
              <w:t>24家</w:t>
            </w:r>
          </w:p>
        </w:tc>
      </w:tr>
      <w:tr>
        <w:tc>
          <w:tcPr>
            <w:tcW w:type="dxa" w:w="3969"/>
            <w:shd w:val="clear" w:color="auto" w:fill="FFFFFF"/>
          </w:tcPr>
          <w:p>
            <w:pPr>
              <w:jc w:val="center"/>
            </w:pPr>
            <w:r>
              <w:rPr>
                <w:rFonts w:ascii="微软雅黑" w:hAnsi="微软雅黑" w:eastAsia="微软雅黑"/>
                <w:b w:val="0"/>
                <w:sz w:val="20"/>
              </w:rPr>
              <w:t>累计招标量</w:t>
            </w:r>
          </w:p>
        </w:tc>
        <w:tc>
          <w:tcPr>
            <w:tcW w:type="dxa" w:w="3402"/>
            <w:shd w:val="clear" w:color="auto" w:fill="FFFFFF"/>
          </w:tcPr>
          <w:p>
            <w:pPr>
              <w:jc w:val="center"/>
            </w:pPr>
            <w:r>
              <w:rPr>
                <w:rFonts w:ascii="微软雅黑" w:hAnsi="微软雅黑" w:eastAsia="微软雅黑"/>
                <w:b w:val="0"/>
                <w:sz w:val="20"/>
              </w:rPr>
              <w:t>约270,961只</w:t>
            </w:r>
          </w:p>
        </w:tc>
      </w:tr>
      <w:tr>
        <w:tc>
          <w:tcPr>
            <w:tcW w:type="dxa" w:w="3969"/>
            <w:shd w:val="clear" w:color="auto" w:fill="DCE6F1"/>
          </w:tcPr>
          <w:p>
            <w:pPr>
              <w:jc w:val="center"/>
            </w:pPr>
            <w:r>
              <w:rPr>
                <w:rFonts w:ascii="微软雅黑" w:hAnsi="微软雅黑" w:eastAsia="微软雅黑"/>
                <w:b w:val="0"/>
                <w:sz w:val="20"/>
              </w:rPr>
              <w:t>预计市场规模</w:t>
            </w:r>
          </w:p>
        </w:tc>
        <w:tc>
          <w:tcPr>
            <w:tcW w:type="dxa" w:w="3402"/>
            <w:shd w:val="clear" w:color="auto" w:fill="DCE6F1"/>
          </w:tcPr>
          <w:p>
            <w:pPr>
              <w:jc w:val="center"/>
            </w:pPr>
            <w:r>
              <w:rPr>
                <w:rFonts w:ascii="微软雅黑" w:hAnsi="微软雅黑" w:eastAsia="微软雅黑"/>
                <w:b w:val="0"/>
                <w:sz w:val="20"/>
              </w:rPr>
              <w:t>约59亿元</w:t>
            </w:r>
          </w:p>
        </w:tc>
      </w:tr>
      <w:tr>
        <w:tc>
          <w:tcPr>
            <w:tcW w:type="dxa" w:w="3969"/>
            <w:shd w:val="clear" w:color="auto" w:fill="FFFFFF"/>
          </w:tcPr>
          <w:p>
            <w:pPr>
              <w:jc w:val="center"/>
            </w:pPr>
            <w:r>
              <w:rPr>
                <w:rFonts w:ascii="微软雅黑" w:hAnsi="微软雅黑" w:eastAsia="微软雅黑"/>
                <w:b w:val="0"/>
                <w:sz w:val="20"/>
              </w:rPr>
              <w:t>覆盖区域数</w:t>
            </w:r>
          </w:p>
        </w:tc>
        <w:tc>
          <w:tcPr>
            <w:tcW w:type="dxa" w:w="3402"/>
            <w:shd w:val="clear" w:color="auto" w:fill="FFFFFF"/>
          </w:tcPr>
          <w:p>
            <w:pPr>
              <w:jc w:val="center"/>
            </w:pPr>
            <w:r>
              <w:rPr>
                <w:rFonts w:ascii="微软雅黑" w:hAnsi="微软雅黑" w:eastAsia="微软雅黑"/>
                <w:b w:val="0"/>
                <w:sz w:val="20"/>
              </w:rPr>
              <w:t>5个</w:t>
            </w:r>
          </w:p>
        </w:tc>
      </w:tr>
    </w:tbl>
    <w:p/>
    <w:p>
      <w:pPr>
        <w:jc w:val="left"/>
      </w:pPr>
      <w:r>
        <w:rPr>
          <w:rFonts w:ascii="微软雅黑" w:hAnsi="微软雅黑" w:eastAsia="微软雅黑"/>
          <w:b/>
          <w:color w:val="000000"/>
          <w:sz w:val="28"/>
        </w:rPr>
        <w:t>2.2 五大区域划分</w:t>
      </w:r>
    </w:p>
    <w:p>
      <w:pPr>
        <w:pStyle w:val="ListNumber"/>
      </w:pPr>
      <w:r>
        <w:rPr>
          <w:rFonts w:ascii="微软雅黑" w:hAnsi="微软雅黑" w:eastAsia="微软雅黑"/>
          <w:b w:val="0"/>
          <w:sz w:val="22"/>
        </w:rPr>
        <w:t>华东区域（3个，除上海、福建）</w:t>
      </w:r>
    </w:p>
    <w:p>
      <w:pPr>
        <w:pStyle w:val="ListNumber"/>
      </w:pPr>
      <w:r>
        <w:rPr>
          <w:rFonts w:ascii="微软雅黑" w:hAnsi="微软雅黑" w:eastAsia="微软雅黑"/>
          <w:b w:val="0"/>
          <w:sz w:val="22"/>
        </w:rPr>
        <w:t>华中和川渝区域（5个，除湖北）</w:t>
      </w:r>
    </w:p>
    <w:p>
      <w:pPr>
        <w:pStyle w:val="ListNumber"/>
      </w:pPr>
      <w:r>
        <w:rPr>
          <w:rFonts w:ascii="微软雅黑" w:hAnsi="微软雅黑" w:eastAsia="微软雅黑"/>
          <w:b w:val="0"/>
          <w:sz w:val="22"/>
        </w:rPr>
        <w:t>华北区域（6个）</w:t>
      </w:r>
    </w:p>
    <w:p>
      <w:pPr>
        <w:pStyle w:val="ListNumber"/>
      </w:pPr>
      <w:r>
        <w:rPr>
          <w:rFonts w:ascii="微软雅黑" w:hAnsi="微软雅黑" w:eastAsia="微软雅黑"/>
          <w:b w:val="0"/>
          <w:sz w:val="22"/>
        </w:rPr>
        <w:t>东北区域（4个）</w:t>
      </w:r>
    </w:p>
    <w:p>
      <w:pPr>
        <w:pStyle w:val="ListNumber"/>
      </w:pPr>
      <w:r>
        <w:rPr>
          <w:rFonts w:ascii="微软雅黑" w:hAnsi="微软雅黑" w:eastAsia="微软雅黑"/>
          <w:b w:val="0"/>
          <w:sz w:val="22"/>
        </w:rPr>
        <w:t>西北和西藏区域（6个）</w:t>
      </w:r>
    </w:p>
    <w:p/>
    <w:p>
      <w:pPr>
        <w:jc w:val="left"/>
      </w:pPr>
      <w:r>
        <w:rPr>
          <w:rFonts w:ascii="微软雅黑" w:hAnsi="微软雅黑" w:eastAsia="微软雅黑"/>
          <w:b/>
          <w:color w:val="000000"/>
          <w:sz w:val="28"/>
        </w:rPr>
        <w:t>2.3 主力需求省份TOP3</w:t>
      </w:r>
    </w:p>
    <w:tbl>
      <w:tblPr>
        <w:tblStyle w:val="TableGrid"/>
        <w:tblW w:type="auto" w:w="0"/>
        <w:jc w:val="center"/>
        <w:tblLook w:firstColumn="1" w:firstRow="1" w:lastColumn="0" w:lastRow="0" w:noHBand="0" w:noVBand="1" w:val="04A0"/>
      </w:tblPr>
      <w:tblGrid>
        <w:gridCol w:w="3024"/>
        <w:gridCol w:w="3024"/>
        <w:gridCol w:w="3024"/>
      </w:tblGrid>
      <w:tr>
        <w:tc>
          <w:tcPr>
            <w:tcW w:type="dxa" w:w="1701"/>
            <w:shd w:val="clear" w:color="auto" w:fill="1F497D"/>
          </w:tcPr>
          <w:p>
            <w:pPr>
              <w:jc w:val="center"/>
            </w:pPr>
            <w:r>
              <w:rPr>
                <w:rFonts w:ascii="微软雅黑" w:hAnsi="微软雅黑" w:eastAsia="微软雅黑"/>
                <w:b/>
                <w:color w:val="FFFFFF"/>
                <w:sz w:val="20"/>
              </w:rPr>
              <w:t>排名</w:t>
            </w:r>
          </w:p>
        </w:tc>
        <w:tc>
          <w:tcPr>
            <w:tcW w:type="dxa" w:w="2268"/>
            <w:shd w:val="clear" w:color="auto" w:fill="1F497D"/>
          </w:tcPr>
          <w:p>
            <w:pPr>
              <w:jc w:val="center"/>
            </w:pPr>
            <w:r>
              <w:rPr>
                <w:rFonts w:ascii="微软雅黑" w:hAnsi="微软雅黑" w:eastAsia="微软雅黑"/>
                <w:b/>
                <w:color w:val="FFFFFF"/>
                <w:sz w:val="20"/>
              </w:rPr>
              <w:t>省份</w:t>
            </w:r>
          </w:p>
        </w:tc>
        <w:tc>
          <w:tcPr>
            <w:tcW w:type="dxa" w:w="3402"/>
            <w:shd w:val="clear" w:color="auto" w:fill="1F497D"/>
          </w:tcPr>
          <w:p>
            <w:pPr>
              <w:jc w:val="center"/>
            </w:pPr>
            <w:r>
              <w:rPr>
                <w:rFonts w:ascii="微软雅黑" w:hAnsi="微软雅黑" w:eastAsia="微软雅黑"/>
                <w:b/>
                <w:color w:val="FFFFFF"/>
                <w:sz w:val="20"/>
              </w:rPr>
              <w:t>需求占比</w:t>
            </w:r>
          </w:p>
        </w:tc>
      </w:tr>
      <w:tr>
        <w:tc>
          <w:tcPr>
            <w:tcW w:type="dxa" w:w="1701"/>
            <w:shd w:val="clear" w:color="auto" w:fill="DCE6F1"/>
          </w:tcPr>
          <w:p>
            <w:pPr>
              <w:jc w:val="center"/>
            </w:pPr>
            <w:r>
              <w:rPr>
                <w:rFonts w:ascii="微软雅黑" w:hAnsi="微软雅黑" w:eastAsia="微软雅黑"/>
                <w:b w:val="0"/>
                <w:sz w:val="20"/>
              </w:rPr>
              <w:t>1</w:t>
            </w:r>
          </w:p>
        </w:tc>
        <w:tc>
          <w:tcPr>
            <w:tcW w:type="dxa" w:w="2268"/>
            <w:shd w:val="clear" w:color="auto" w:fill="DCE6F1"/>
          </w:tcPr>
          <w:p>
            <w:pPr>
              <w:jc w:val="center"/>
            </w:pPr>
            <w:r>
              <w:rPr>
                <w:rFonts w:ascii="微软雅黑" w:hAnsi="微软雅黑" w:eastAsia="微软雅黑"/>
                <w:b w:val="0"/>
                <w:sz w:val="20"/>
              </w:rPr>
              <w:t>江苏</w:t>
            </w:r>
          </w:p>
        </w:tc>
        <w:tc>
          <w:tcPr>
            <w:tcW w:type="dxa" w:w="3402"/>
            <w:shd w:val="clear" w:color="auto" w:fill="DCE6F1"/>
          </w:tcPr>
          <w:p>
            <w:pPr>
              <w:jc w:val="center"/>
            </w:pPr>
            <w:r>
              <w:rPr>
                <w:rFonts w:ascii="微软雅黑" w:hAnsi="微软雅黑" w:eastAsia="微软雅黑"/>
                <w:b w:val="0"/>
                <w:sz w:val="20"/>
              </w:rPr>
              <w:t>14.67%</w:t>
            </w:r>
          </w:p>
        </w:tc>
      </w:tr>
      <w:tr>
        <w:tc>
          <w:tcPr>
            <w:tcW w:type="dxa" w:w="1701"/>
            <w:shd w:val="clear" w:color="auto" w:fill="FFFFFF"/>
          </w:tcPr>
          <w:p>
            <w:pPr>
              <w:jc w:val="center"/>
            </w:pPr>
            <w:r>
              <w:rPr>
                <w:rFonts w:ascii="微软雅黑" w:hAnsi="微软雅黑" w:eastAsia="微软雅黑"/>
                <w:b w:val="0"/>
                <w:sz w:val="20"/>
              </w:rPr>
              <w:t>2</w:t>
            </w:r>
          </w:p>
        </w:tc>
        <w:tc>
          <w:tcPr>
            <w:tcW w:type="dxa" w:w="2268"/>
            <w:shd w:val="clear" w:color="auto" w:fill="FFFFFF"/>
          </w:tcPr>
          <w:p>
            <w:pPr>
              <w:jc w:val="center"/>
            </w:pPr>
            <w:r>
              <w:rPr>
                <w:rFonts w:ascii="微软雅黑" w:hAnsi="微软雅黑" w:eastAsia="微软雅黑"/>
                <w:b w:val="0"/>
                <w:sz w:val="20"/>
              </w:rPr>
              <w:t>河南</w:t>
            </w:r>
          </w:p>
        </w:tc>
        <w:tc>
          <w:tcPr>
            <w:tcW w:type="dxa" w:w="3402"/>
            <w:shd w:val="clear" w:color="auto" w:fill="FFFFFF"/>
          </w:tcPr>
          <w:p>
            <w:pPr>
              <w:jc w:val="center"/>
            </w:pPr>
            <w:r>
              <w:rPr>
                <w:rFonts w:ascii="微软雅黑" w:hAnsi="微软雅黑" w:eastAsia="微软雅黑"/>
                <w:b w:val="0"/>
                <w:sz w:val="20"/>
              </w:rPr>
              <w:t>14.33%</w:t>
            </w:r>
          </w:p>
        </w:tc>
      </w:tr>
      <w:tr>
        <w:tc>
          <w:tcPr>
            <w:tcW w:type="dxa" w:w="1701"/>
            <w:shd w:val="clear" w:color="auto" w:fill="DCE6F1"/>
          </w:tcPr>
          <w:p>
            <w:pPr>
              <w:jc w:val="center"/>
            </w:pPr>
            <w:r>
              <w:rPr>
                <w:rFonts w:ascii="微软雅黑" w:hAnsi="微软雅黑" w:eastAsia="微软雅黑"/>
                <w:b w:val="0"/>
                <w:sz w:val="20"/>
              </w:rPr>
              <w:t>3</w:t>
            </w:r>
          </w:p>
        </w:tc>
        <w:tc>
          <w:tcPr>
            <w:tcW w:type="dxa" w:w="2268"/>
            <w:shd w:val="clear" w:color="auto" w:fill="DCE6F1"/>
          </w:tcPr>
          <w:p>
            <w:pPr>
              <w:jc w:val="center"/>
            </w:pPr>
            <w:r>
              <w:rPr>
                <w:rFonts w:ascii="微软雅黑" w:hAnsi="微软雅黑" w:eastAsia="微软雅黑"/>
                <w:b w:val="0"/>
                <w:sz w:val="20"/>
              </w:rPr>
              <w:t>安徽</w:t>
            </w:r>
          </w:p>
        </w:tc>
        <w:tc>
          <w:tcPr>
            <w:tcW w:type="dxa" w:w="3402"/>
            <w:shd w:val="clear" w:color="auto" w:fill="DCE6F1"/>
          </w:tcPr>
          <w:p>
            <w:pPr>
              <w:jc w:val="center"/>
            </w:pPr>
            <w:r>
              <w:rPr>
                <w:rFonts w:ascii="微软雅黑" w:hAnsi="微软雅黑" w:eastAsia="微软雅黑"/>
                <w:b w:val="0"/>
                <w:sz w:val="20"/>
              </w:rPr>
              <w:t>11.83%</w:t>
            </w:r>
          </w:p>
        </w:tc>
      </w:tr>
      <w:tr>
        <w:tc>
          <w:tcPr>
            <w:tcW w:type="dxa" w:w="1701"/>
            <w:shd w:val="clear" w:color="auto" w:fill="FFFFFF"/>
          </w:tcPr>
          <w:p>
            <w:pPr>
              <w:jc w:val="center"/>
            </w:pPr>
            <w:r>
              <w:rPr>
                <w:rFonts w:ascii="微软雅黑" w:hAnsi="微软雅黑" w:eastAsia="微软雅黑"/>
                <w:b w:val="0"/>
                <w:sz w:val="20"/>
              </w:rPr>
              <w:t>前三合计</w:t>
            </w:r>
          </w:p>
        </w:tc>
        <w:tc>
          <w:tcPr>
            <w:tcW w:type="dxa" w:w="2268"/>
            <w:shd w:val="clear" w:color="auto" w:fill="FFFFFF"/>
          </w:tcPr>
          <w:p>
            <w:pPr>
              <w:jc w:val="center"/>
            </w:pPr>
            <w:r>
              <w:rPr>
                <w:rFonts w:ascii="微软雅黑" w:hAnsi="微软雅黑" w:eastAsia="微软雅黑"/>
                <w:b w:val="0"/>
                <w:sz w:val="20"/>
              </w:rPr>
              <w:t>—</w:t>
            </w:r>
          </w:p>
        </w:tc>
        <w:tc>
          <w:tcPr>
            <w:tcW w:type="dxa" w:w="3402"/>
            <w:shd w:val="clear" w:color="auto" w:fill="FFFFFF"/>
          </w:tcPr>
          <w:p>
            <w:pPr>
              <w:jc w:val="center"/>
            </w:pPr>
            <w:r>
              <w:rPr>
                <w:rFonts w:ascii="微软雅黑" w:hAnsi="微软雅黑" w:eastAsia="微软雅黑"/>
                <w:b w:val="0"/>
                <w:sz w:val="20"/>
              </w:rPr>
              <w:t>40.8%</w:t>
            </w:r>
          </w:p>
        </w:tc>
      </w:tr>
    </w:tbl>
    <w:p/>
    <w:p>
      <w:r>
        <w:rPr>
          <w:rFonts w:ascii="微软雅黑" w:hAnsi="微软雅黑" w:eastAsia="微软雅黑"/>
          <w:b/>
          <w:sz w:val="22"/>
        </w:rPr>
        <w:t>核心洞察：</w:t>
      </w:r>
      <w:r>
        <w:rPr>
          <w:rFonts w:ascii="微软雅黑" w:hAnsi="微软雅黑" w:eastAsia="微软雅黑"/>
          <w:b w:val="0"/>
          <w:sz w:val="22"/>
        </w:rPr>
        <w:t>江苏、河南、安徽三省占据全国近半壁江山的需求量，是本批次区域招标的核心战场。这与三省的电网改造进度、城镇化水平及配电自动化推进节奏高度相关。</w:t>
      </w:r>
    </w:p>
    <w:p>
      <w:pPr>
        <w:jc w:val="left"/>
      </w:pPr>
      <w:r>
        <w:rPr>
          <w:rFonts w:ascii="微软雅黑" w:hAnsi="微软雅黑" w:eastAsia="微软雅黑"/>
          <w:b/>
          <w:color w:val="1F497D"/>
          <w:sz w:val="36"/>
        </w:rPr>
        <w:t>三、物资使用环境分布分析</w:t>
      </w:r>
    </w:p>
    <w:p>
      <w:pPr>
        <w:jc w:val="left"/>
      </w:pPr>
      <w:r>
        <w:rPr>
          <w:rFonts w:ascii="微软雅黑" w:hAnsi="微软雅黑" w:eastAsia="微软雅黑"/>
          <w:b/>
          <w:color w:val="000000"/>
          <w:sz w:val="28"/>
        </w:rPr>
        <w:t>3.1 整体产品类型结构</w:t>
      </w:r>
    </w:p>
    <w:tbl>
      <w:tblPr>
        <w:tblStyle w:val="TableGrid"/>
        <w:tblW w:type="auto" w:w="0"/>
        <w:jc w:val="center"/>
        <w:tblLook w:firstColumn="1" w:firstRow="1" w:lastColumn="0" w:lastRow="0" w:noHBand="0" w:noVBand="1" w:val="04A0"/>
      </w:tblPr>
      <w:tblGrid>
        <w:gridCol w:w="3024"/>
        <w:gridCol w:w="3024"/>
        <w:gridCol w:w="3024"/>
      </w:tblGrid>
      <w:tr>
        <w:tc>
          <w:tcPr>
            <w:tcW w:type="dxa" w:w="2835"/>
            <w:shd w:val="clear" w:color="auto" w:fill="1F497D"/>
          </w:tcPr>
          <w:p>
            <w:pPr>
              <w:jc w:val="center"/>
            </w:pPr>
            <w:r>
              <w:rPr>
                <w:rFonts w:ascii="微软雅黑" w:hAnsi="微软雅黑" w:eastAsia="微软雅黑"/>
                <w:b/>
                <w:color w:val="FFFFFF"/>
                <w:sz w:val="20"/>
              </w:rPr>
              <w:t>产品类型</w:t>
            </w:r>
          </w:p>
        </w:tc>
        <w:tc>
          <w:tcPr>
            <w:tcW w:type="dxa" w:w="1701"/>
            <w:shd w:val="clear" w:color="auto" w:fill="1F497D"/>
          </w:tcPr>
          <w:p>
            <w:pPr>
              <w:jc w:val="center"/>
            </w:pPr>
            <w:r>
              <w:rPr>
                <w:rFonts w:ascii="微软雅黑" w:hAnsi="微软雅黑" w:eastAsia="微软雅黑"/>
                <w:b/>
                <w:color w:val="FFFFFF"/>
                <w:sz w:val="20"/>
              </w:rPr>
              <w:t>占比</w:t>
            </w:r>
          </w:p>
        </w:tc>
        <w:tc>
          <w:tcPr>
            <w:tcW w:type="dxa" w:w="3118"/>
            <w:shd w:val="clear" w:color="auto" w:fill="1F497D"/>
          </w:tcPr>
          <w:p>
            <w:pPr>
              <w:jc w:val="center"/>
            </w:pPr>
            <w:r>
              <w:rPr>
                <w:rFonts w:ascii="微软雅黑" w:hAnsi="微软雅黑" w:eastAsia="微软雅黑"/>
                <w:b/>
                <w:color w:val="FFFFFF"/>
                <w:sz w:val="20"/>
              </w:rPr>
              <w:t>说明</w:t>
            </w:r>
          </w:p>
        </w:tc>
      </w:tr>
      <w:tr>
        <w:tc>
          <w:tcPr>
            <w:tcW w:type="dxa" w:w="2835"/>
            <w:shd w:val="clear" w:color="auto" w:fill="DCE6F1"/>
          </w:tcPr>
          <w:p>
            <w:pPr>
              <w:jc w:val="center"/>
            </w:pPr>
            <w:r>
              <w:rPr>
                <w:rFonts w:ascii="微软雅黑" w:hAnsi="微软雅黑" w:eastAsia="微软雅黑"/>
                <w:b w:val="0"/>
                <w:sz w:val="20"/>
              </w:rPr>
              <w:t>户外型联络开关</w:t>
            </w:r>
          </w:p>
        </w:tc>
        <w:tc>
          <w:tcPr>
            <w:tcW w:type="dxa" w:w="1701"/>
            <w:shd w:val="clear" w:color="auto" w:fill="DCE6F1"/>
          </w:tcPr>
          <w:p>
            <w:pPr>
              <w:jc w:val="center"/>
            </w:pPr>
            <w:r>
              <w:rPr>
                <w:rFonts w:ascii="微软雅黑" w:hAnsi="微软雅黑" w:eastAsia="微软雅黑"/>
                <w:b w:val="0"/>
                <w:sz w:val="20"/>
              </w:rPr>
              <w:t>约76%</w:t>
            </w:r>
          </w:p>
        </w:tc>
        <w:tc>
          <w:tcPr>
            <w:tcW w:type="dxa" w:w="3118"/>
            <w:shd w:val="clear" w:color="auto" w:fill="DCE6F1"/>
          </w:tcPr>
          <w:p>
            <w:pPr>
              <w:jc w:val="center"/>
            </w:pPr>
            <w:r>
              <w:rPr>
                <w:rFonts w:ascii="微软雅黑" w:hAnsi="微软雅黑" w:eastAsia="微软雅黑"/>
                <w:b w:val="0"/>
                <w:sz w:val="20"/>
              </w:rPr>
              <w:t>主流产品，占绝对主导地位</w:t>
            </w:r>
          </w:p>
        </w:tc>
      </w:tr>
      <w:tr>
        <w:tc>
          <w:tcPr>
            <w:tcW w:type="dxa" w:w="2835"/>
            <w:shd w:val="clear" w:color="auto" w:fill="FFFFFF"/>
          </w:tcPr>
          <w:p>
            <w:pPr>
              <w:jc w:val="center"/>
            </w:pPr>
            <w:r>
              <w:rPr>
                <w:rFonts w:ascii="微软雅黑" w:hAnsi="微软雅黑" w:eastAsia="微软雅黑"/>
                <w:b w:val="0"/>
                <w:sz w:val="20"/>
              </w:rPr>
              <w:t>用户分界型</w:t>
            </w:r>
          </w:p>
        </w:tc>
        <w:tc>
          <w:tcPr>
            <w:tcW w:type="dxa" w:w="1701"/>
            <w:shd w:val="clear" w:color="auto" w:fill="FFFFFF"/>
          </w:tcPr>
          <w:p>
            <w:pPr>
              <w:jc w:val="center"/>
            </w:pPr>
            <w:r>
              <w:rPr>
                <w:rFonts w:ascii="微软雅黑" w:hAnsi="微软雅黑" w:eastAsia="微软雅黑"/>
                <w:b w:val="0"/>
                <w:sz w:val="20"/>
              </w:rPr>
              <w:t>约24%</w:t>
            </w:r>
          </w:p>
        </w:tc>
        <w:tc>
          <w:tcPr>
            <w:tcW w:type="dxa" w:w="3118"/>
            <w:shd w:val="clear" w:color="auto" w:fill="FFFFFF"/>
          </w:tcPr>
          <w:p>
            <w:pPr>
              <w:jc w:val="center"/>
            </w:pPr>
            <w:r>
              <w:rPr>
                <w:rFonts w:ascii="微软雅黑" w:hAnsi="微软雅黑" w:eastAsia="微软雅黑"/>
                <w:b w:val="0"/>
                <w:sz w:val="20"/>
              </w:rPr>
              <w:t>用于用户侧分界点</w:t>
            </w:r>
          </w:p>
        </w:tc>
      </w:tr>
    </w:tbl>
    <w:p/>
    <w:p>
      <w:pPr>
        <w:jc w:val="left"/>
      </w:pPr>
      <w:r>
        <w:rPr>
          <w:rFonts w:ascii="微软雅黑" w:hAnsi="微软雅黑" w:eastAsia="微软雅黑"/>
          <w:b/>
          <w:color w:val="000000"/>
          <w:sz w:val="28"/>
        </w:rPr>
        <w:t>3.2 各省产品配置差异</w:t>
      </w:r>
    </w:p>
    <w:p>
      <w:r>
        <w:rPr>
          <w:rFonts w:ascii="微软雅黑" w:hAnsi="微软雅黑" w:eastAsia="微软雅黑"/>
          <w:b/>
          <w:sz w:val="22"/>
        </w:rPr>
        <w:t>户外型超50%的项目单位（共21个）：</w:t>
      </w:r>
    </w:p>
    <w:p>
      <w:r>
        <w:rPr>
          <w:rFonts w:ascii="微软雅黑" w:hAnsi="微软雅黑" w:eastAsia="微软雅黑"/>
          <w:b w:val="0"/>
          <w:sz w:val="22"/>
        </w:rPr>
        <w:t>安徽、北京、河北等21个项目单位本次招标户外型产品比例均超过50%。</w:t>
      </w:r>
    </w:p>
    <w:p/>
    <w:p>
      <w:r>
        <w:rPr>
          <w:rFonts w:ascii="微软雅黑" w:hAnsi="微软雅黑" w:eastAsia="微软雅黑"/>
          <w:b/>
          <w:sz w:val="22"/>
        </w:rPr>
        <w:t>用户分界型超50%的项目单位（共7个）：</w:t>
      </w:r>
    </w:p>
    <w:p>
      <w:r>
        <w:rPr>
          <w:rFonts w:ascii="微软雅黑" w:hAnsi="微软雅黑" w:eastAsia="微软雅黑"/>
          <w:b w:val="0"/>
          <w:sz w:val="22"/>
        </w:rPr>
        <w:t>甘肃、河南、山东、四川、新疆、重庆、西藏。</w:t>
      </w:r>
    </w:p>
    <w:p/>
    <w:p>
      <w:r>
        <w:rPr>
          <w:rFonts w:ascii="微软雅黑" w:hAnsi="微软雅黑" w:eastAsia="微软雅黑"/>
          <w:b/>
          <w:sz w:val="22"/>
        </w:rPr>
        <w:t>核心洞察：</w:t>
      </w:r>
      <w:r>
        <w:rPr>
          <w:rFonts w:ascii="微软雅黑" w:hAnsi="微软雅黑" w:eastAsia="微软雅黑"/>
          <w:b w:val="0"/>
          <w:sz w:val="22"/>
        </w:rPr>
        <w:t>用户分界型需求集中在西部及特殊地理区域（西藏、新疆、川渝），反映出这些地区配电网结构与东部差异显著，用户侧分界管理需求更为突出。</w:t>
      </w:r>
    </w:p>
    <w:p>
      <w:pPr>
        <w:jc w:val="left"/>
      </w:pPr>
      <w:r>
        <w:rPr>
          <w:rFonts w:ascii="微软雅黑" w:hAnsi="微软雅黑" w:eastAsia="微软雅黑"/>
          <w:b/>
          <w:color w:val="1F497D"/>
          <w:sz w:val="36"/>
        </w:rPr>
        <w:t>四、融合类型与配置深度分析</w:t>
      </w:r>
    </w:p>
    <w:p>
      <w:pPr>
        <w:jc w:val="left"/>
      </w:pPr>
      <w:r>
        <w:rPr>
          <w:rFonts w:ascii="微软雅黑" w:hAnsi="微软雅黑" w:eastAsia="微软雅黑"/>
          <w:b/>
          <w:color w:val="000000"/>
          <w:sz w:val="28"/>
        </w:rPr>
        <w:t>4.1 融合类型分布</w:t>
      </w:r>
    </w:p>
    <w:p>
      <w:r>
        <w:rPr>
          <w:rFonts w:ascii="微软雅黑" w:hAnsi="微软雅黑" w:eastAsia="微软雅黑"/>
          <w:b w:val="0"/>
          <w:sz w:val="22"/>
        </w:rPr>
        <w:t>一二次融合技术将传统一次设备（断路器本体）与二次设备（配电终端FTU、控制器）深度集成，是配电网智能化改造的核心方向之一。本批次招标中，各项目单位对融合深度、协议标准、通信方式等均有差异化的技术要求。</w:t>
      </w:r>
    </w:p>
    <w:p>
      <w:pPr>
        <w:jc w:val="left"/>
      </w:pPr>
      <w:r>
        <w:rPr>
          <w:rFonts w:ascii="微软雅黑" w:hAnsi="微软雅黑" w:eastAsia="微软雅黑"/>
          <w:b/>
          <w:color w:val="000000"/>
          <w:sz w:val="28"/>
        </w:rPr>
        <w:t>4.2 隔离开关配置情况</w:t>
      </w:r>
    </w:p>
    <w:p>
      <w:r>
        <w:rPr>
          <w:rFonts w:ascii="微软雅黑" w:hAnsi="微软雅黑" w:eastAsia="微软雅黑"/>
          <w:b w:val="0"/>
          <w:sz w:val="22"/>
        </w:rPr>
        <w:t>部分项目单位在本批次招标中对隔离开关提出了明确的配置要求，作为配套安全隔离装置，与断路器本体形成完整的配电自动化回路。</w:t>
      </w:r>
    </w:p>
    <w:p>
      <w:pPr>
        <w:jc w:val="left"/>
      </w:pPr>
      <w:r>
        <w:rPr>
          <w:rFonts w:ascii="微软雅黑" w:hAnsi="微软雅黑" w:eastAsia="微软雅黑"/>
          <w:b/>
          <w:color w:val="000000"/>
          <w:sz w:val="28"/>
        </w:rPr>
        <w:t>4.3 FTU（配电终端）配置情况</w:t>
      </w:r>
    </w:p>
    <w:p>
      <w:r>
        <w:rPr>
          <w:rFonts w:ascii="微软雅黑" w:hAnsi="微软雅黑" w:eastAsia="微软雅黑"/>
          <w:b w:val="0"/>
          <w:sz w:val="22"/>
        </w:rPr>
        <w:t>FTU（Feeder Terminal Unit，配电终端单元）是实现柱上断路器遥控、遥测、遥信"三遥"功能的关键二次设备。各省对FTU的通信规约（101/104规约）、防护等级（IP65及以上）、采样精度等要求各异。</w:t>
      </w:r>
    </w:p>
    <w:p>
      <w:pPr>
        <w:jc w:val="left"/>
      </w:pPr>
      <w:r>
        <w:rPr>
          <w:rFonts w:ascii="微软雅黑" w:hAnsi="微软雅黑" w:eastAsia="微软雅黑"/>
          <w:b/>
          <w:color w:val="000000"/>
          <w:sz w:val="28"/>
        </w:rPr>
        <w:t>4.4 操作机构配置情况</w:t>
      </w:r>
    </w:p>
    <w:p>
      <w:r>
        <w:rPr>
          <w:rFonts w:ascii="微软雅黑" w:hAnsi="微软雅黑" w:eastAsia="微软雅黑"/>
          <w:b w:val="0"/>
          <w:sz w:val="22"/>
        </w:rPr>
        <w:t>操作机构是断路器的核心执行部件，本批次招标中对弹簧操作机构、永磁操作机构等不同技术路线均有涉及，供应商需具备多种技术方案的对接能力。</w:t>
      </w:r>
    </w:p>
    <w:p>
      <w:pPr>
        <w:jc w:val="left"/>
      </w:pPr>
      <w:r>
        <w:rPr>
          <w:rFonts w:ascii="微软雅黑" w:hAnsi="微软雅黑" w:eastAsia="微软雅黑"/>
          <w:b/>
          <w:color w:val="1F497D"/>
          <w:sz w:val="36"/>
        </w:rPr>
        <w:t>五、与2025年度招标情况对比</w:t>
      </w:r>
    </w:p>
    <w:p>
      <w:pPr>
        <w:jc w:val="left"/>
      </w:pPr>
      <w:r>
        <w:rPr>
          <w:rFonts w:ascii="微软雅黑" w:hAnsi="微软雅黑" w:eastAsia="微软雅黑"/>
          <w:b/>
          <w:color w:val="000000"/>
          <w:sz w:val="28"/>
        </w:rPr>
        <w:t>5.1 规模增长</w:t>
      </w:r>
    </w:p>
    <w:p>
      <w:r>
        <w:rPr>
          <w:rFonts w:ascii="微软雅黑" w:hAnsi="微软雅黑" w:eastAsia="微软雅黑"/>
          <w:b w:val="0"/>
          <w:sz w:val="22"/>
        </w:rPr>
        <w:t>2026年第一批招标规模较2025年同期呈现稳中有增态势，主要驱动力包括：</w:t>
      </w:r>
    </w:p>
    <w:p>
      <w:pPr>
        <w:pStyle w:val="ListBullet"/>
      </w:pPr>
      <w:r>
        <w:rPr>
          <w:rFonts w:ascii="微软雅黑" w:hAnsi="微软雅黑" w:eastAsia="微软雅黑"/>
          <w:b w:val="0"/>
          <w:sz w:val="22"/>
        </w:rPr>
        <w:t>配电网"十四五"规划收官冲刺阶段项目加速落地</w:t>
      </w:r>
    </w:p>
    <w:p>
      <w:pPr>
        <w:pStyle w:val="ListBullet"/>
      </w:pPr>
      <w:r>
        <w:rPr>
          <w:rFonts w:ascii="微软雅黑" w:hAnsi="微软雅黑" w:eastAsia="微软雅黑"/>
          <w:b w:val="0"/>
          <w:sz w:val="22"/>
        </w:rPr>
        <w:t>新能源大规模接入带动配电网改造需求</w:t>
      </w:r>
    </w:p>
    <w:p>
      <w:pPr>
        <w:pStyle w:val="ListBullet"/>
      </w:pPr>
      <w:r>
        <w:rPr>
          <w:rFonts w:ascii="微软雅黑" w:hAnsi="微软雅黑" w:eastAsia="微软雅黑"/>
          <w:b w:val="0"/>
          <w:sz w:val="22"/>
        </w:rPr>
        <w:t>城市老旧小区配电设施更新改造持续推进</w:t>
      </w:r>
    </w:p>
    <w:p/>
    <w:p>
      <w:pPr>
        <w:jc w:val="left"/>
      </w:pPr>
      <w:r>
        <w:rPr>
          <w:rFonts w:ascii="微软雅黑" w:hAnsi="微软雅黑" w:eastAsia="微软雅黑"/>
          <w:b/>
          <w:color w:val="000000"/>
          <w:sz w:val="28"/>
        </w:rPr>
        <w:t>5.2 区域结构变化</w:t>
      </w:r>
    </w:p>
    <w:p>
      <w:r>
        <w:rPr>
          <w:rFonts w:ascii="微软雅黑" w:hAnsi="微软雅黑" w:eastAsia="微软雅黑"/>
          <w:b w:val="0"/>
          <w:sz w:val="22"/>
        </w:rPr>
        <w:t>• 西部区域（西北、西藏）招标占比提升，反映国家配电网建设向西部倾斜政策持续显效</w:t>
      </w:r>
    </w:p>
    <w:p>
      <w:r>
        <w:rPr>
          <w:rFonts w:ascii="微软雅黑" w:hAnsi="微软雅黑" w:eastAsia="微软雅黑"/>
          <w:b w:val="0"/>
          <w:sz w:val="22"/>
        </w:rPr>
        <w:t>• 华东区域招标量仍保持高位，但增速趋于平稳</w:t>
      </w:r>
    </w:p>
    <w:p>
      <w:pPr>
        <w:jc w:val="left"/>
      </w:pPr>
      <w:r>
        <w:rPr>
          <w:rFonts w:ascii="微软雅黑" w:hAnsi="微软雅黑" w:eastAsia="微软雅黑"/>
          <w:b/>
          <w:color w:val="000000"/>
          <w:sz w:val="28"/>
        </w:rPr>
        <w:t>5.3 技术要求升级</w:t>
      </w:r>
    </w:p>
    <w:p>
      <w:r>
        <w:rPr>
          <w:rFonts w:ascii="微软雅黑" w:hAnsi="微软雅黑" w:eastAsia="微软雅黑"/>
          <w:b w:val="0"/>
          <w:sz w:val="22"/>
        </w:rPr>
        <w:t>相比2025年，2026年第一批招标在以下维度技术要求明显提高：</w:t>
      </w:r>
    </w:p>
    <w:p>
      <w:pPr>
        <w:pStyle w:val="ListBullet"/>
      </w:pPr>
      <w:r>
        <w:rPr>
          <w:rFonts w:ascii="微软雅黑" w:hAnsi="微软雅黑" w:eastAsia="微软雅黑"/>
          <w:b w:val="0"/>
          <w:sz w:val="22"/>
        </w:rPr>
        <w:t>防护等级要求普遍提升（IP67逐渐成为标配）</w:t>
      </w:r>
    </w:p>
    <w:p>
      <w:pPr>
        <w:pStyle w:val="ListBullet"/>
      </w:pPr>
      <w:r>
        <w:rPr>
          <w:rFonts w:ascii="微软雅黑" w:hAnsi="微软雅黑" w:eastAsia="微软雅黑"/>
          <w:b w:val="0"/>
          <w:sz w:val="22"/>
        </w:rPr>
        <w:t>通信安全要求更严格</w:t>
      </w:r>
    </w:p>
    <w:p>
      <w:pPr>
        <w:pStyle w:val="ListBullet"/>
      </w:pPr>
      <w:r>
        <w:rPr>
          <w:rFonts w:ascii="微软雅黑" w:hAnsi="微软雅黑" w:eastAsia="微软雅黑"/>
          <w:b w:val="0"/>
          <w:sz w:val="22"/>
        </w:rPr>
        <w:t>融合深度标准进一步统一</w:t>
      </w:r>
    </w:p>
    <w:p>
      <w:pPr>
        <w:jc w:val="left"/>
      </w:pPr>
      <w:r>
        <w:rPr>
          <w:rFonts w:ascii="微软雅黑" w:hAnsi="微软雅黑" w:eastAsia="微软雅黑"/>
          <w:b/>
          <w:color w:val="1F497D"/>
          <w:sz w:val="36"/>
        </w:rPr>
        <w:t>六、企业资质能力要求</w:t>
      </w:r>
    </w:p>
    <w:p>
      <w:pPr>
        <w:jc w:val="left"/>
      </w:pPr>
      <w:r>
        <w:rPr>
          <w:rFonts w:ascii="微软雅黑" w:hAnsi="微软雅黑" w:eastAsia="微软雅黑"/>
          <w:b/>
          <w:color w:val="000000"/>
          <w:sz w:val="28"/>
        </w:rPr>
        <w:t>6.1 供应商准入门槛</w:t>
      </w:r>
    </w:p>
    <w:p>
      <w:r>
        <w:rPr>
          <w:rFonts w:ascii="微软雅黑" w:hAnsi="微软雅黑" w:eastAsia="微软雅黑"/>
          <w:b w:val="0"/>
          <w:sz w:val="22"/>
        </w:rPr>
        <w:t>参与本批次区域联合招标的供应商须满足以下基本资质要求：</w:t>
      </w:r>
    </w:p>
    <w:tbl>
      <w:tblPr>
        <w:tblStyle w:val="TableGrid"/>
        <w:tblW w:type="auto" w:w="0"/>
        <w:jc w:val="center"/>
        <w:tblLook w:firstColumn="1" w:firstRow="1" w:lastColumn="0" w:lastRow="0" w:noHBand="0" w:noVBand="1" w:val="04A0"/>
      </w:tblPr>
      <w:tblGrid>
        <w:gridCol w:w="4536"/>
        <w:gridCol w:w="4536"/>
      </w:tblGrid>
      <w:tr>
        <w:tc>
          <w:tcPr>
            <w:tcW w:type="dxa" w:w="2268"/>
            <w:shd w:val="clear" w:color="auto" w:fill="1F497D"/>
          </w:tcPr>
          <w:p>
            <w:pPr>
              <w:jc w:val="center"/>
            </w:pPr>
            <w:r>
              <w:rPr>
                <w:rFonts w:ascii="微软雅黑" w:hAnsi="微软雅黑" w:eastAsia="微软雅黑"/>
                <w:b/>
                <w:color w:val="FFFFFF"/>
                <w:sz w:val="20"/>
              </w:rPr>
              <w:t>资质类别</w:t>
            </w:r>
          </w:p>
        </w:tc>
        <w:tc>
          <w:tcPr>
            <w:tcW w:type="dxa" w:w="5102"/>
            <w:shd w:val="clear" w:color="auto" w:fill="1F497D"/>
          </w:tcPr>
          <w:p>
            <w:pPr>
              <w:jc w:val="center"/>
            </w:pPr>
            <w:r>
              <w:rPr>
                <w:rFonts w:ascii="微软雅黑" w:hAnsi="微软雅黑" w:eastAsia="微软雅黑"/>
                <w:b/>
                <w:color w:val="FFFFFF"/>
                <w:sz w:val="20"/>
              </w:rPr>
              <w:t>要求内容</w:t>
            </w:r>
          </w:p>
        </w:tc>
      </w:tr>
      <w:tr>
        <w:tc>
          <w:tcPr>
            <w:tcW w:type="dxa" w:w="2268"/>
            <w:shd w:val="clear" w:color="auto" w:fill="DCE6F1"/>
          </w:tcPr>
          <w:p>
            <w:pPr>
              <w:jc w:val="center"/>
            </w:pPr>
            <w:r>
              <w:rPr>
                <w:rFonts w:ascii="微软雅黑" w:hAnsi="微软雅黑" w:eastAsia="微软雅黑"/>
                <w:b w:val="0"/>
                <w:sz w:val="20"/>
              </w:rPr>
              <w:t>注册资本</w:t>
            </w:r>
          </w:p>
        </w:tc>
        <w:tc>
          <w:tcPr>
            <w:tcW w:type="dxa" w:w="5102"/>
            <w:shd w:val="clear" w:color="auto" w:fill="DCE6F1"/>
          </w:tcPr>
          <w:p>
            <w:pPr>
              <w:jc w:val="center"/>
            </w:pPr>
            <w:r>
              <w:rPr>
                <w:rFonts w:ascii="微软雅黑" w:hAnsi="微软雅黑" w:eastAsia="微软雅黑"/>
                <w:b w:val="0"/>
                <w:sz w:val="20"/>
              </w:rPr>
              <w:t>通常不低于5000万元</w:t>
            </w:r>
          </w:p>
        </w:tc>
      </w:tr>
      <w:tr>
        <w:tc>
          <w:tcPr>
            <w:tcW w:type="dxa" w:w="2268"/>
            <w:shd w:val="clear" w:color="auto" w:fill="FFFFFF"/>
          </w:tcPr>
          <w:p>
            <w:pPr>
              <w:jc w:val="center"/>
            </w:pPr>
            <w:r>
              <w:rPr>
                <w:rFonts w:ascii="微软雅黑" w:hAnsi="微软雅黑" w:eastAsia="微软雅黑"/>
                <w:b w:val="0"/>
                <w:sz w:val="20"/>
              </w:rPr>
              <w:t>产品认证</w:t>
            </w:r>
          </w:p>
        </w:tc>
        <w:tc>
          <w:tcPr>
            <w:tcW w:type="dxa" w:w="5102"/>
            <w:shd w:val="clear" w:color="auto" w:fill="FFFFFF"/>
          </w:tcPr>
          <w:p>
            <w:pPr>
              <w:jc w:val="center"/>
            </w:pPr>
            <w:r>
              <w:rPr>
                <w:rFonts w:ascii="微软雅黑" w:hAnsi="微软雅黑" w:eastAsia="微软雅黑"/>
                <w:b w:val="0"/>
                <w:sz w:val="20"/>
              </w:rPr>
              <w:t>CQC/CCRC认证，型式试验报告</w:t>
            </w:r>
          </w:p>
        </w:tc>
      </w:tr>
      <w:tr>
        <w:tc>
          <w:tcPr>
            <w:tcW w:type="dxa" w:w="2268"/>
            <w:shd w:val="clear" w:color="auto" w:fill="DCE6F1"/>
          </w:tcPr>
          <w:p>
            <w:pPr>
              <w:jc w:val="center"/>
            </w:pPr>
            <w:r>
              <w:rPr>
                <w:rFonts w:ascii="微软雅黑" w:hAnsi="微软雅黑" w:eastAsia="微软雅黑"/>
                <w:b w:val="0"/>
                <w:sz w:val="20"/>
              </w:rPr>
              <w:t>业绩要求</w:t>
            </w:r>
          </w:p>
        </w:tc>
        <w:tc>
          <w:tcPr>
            <w:tcW w:type="dxa" w:w="5102"/>
            <w:shd w:val="clear" w:color="auto" w:fill="DCE6F1"/>
          </w:tcPr>
          <w:p>
            <w:pPr>
              <w:jc w:val="center"/>
            </w:pPr>
            <w:r>
              <w:rPr>
                <w:rFonts w:ascii="微软雅黑" w:hAnsi="微软雅黑" w:eastAsia="微软雅黑"/>
                <w:b w:val="0"/>
                <w:sz w:val="20"/>
              </w:rPr>
              <w:t>近三年同类产品供货业绩</w:t>
            </w:r>
          </w:p>
        </w:tc>
      </w:tr>
      <w:tr>
        <w:tc>
          <w:tcPr>
            <w:tcW w:type="dxa" w:w="2268"/>
            <w:shd w:val="clear" w:color="auto" w:fill="FFFFFF"/>
          </w:tcPr>
          <w:p>
            <w:pPr>
              <w:jc w:val="center"/>
            </w:pPr>
            <w:r>
              <w:rPr>
                <w:rFonts w:ascii="微软雅黑" w:hAnsi="微软雅黑" w:eastAsia="微软雅黑"/>
                <w:b w:val="0"/>
                <w:sz w:val="20"/>
              </w:rPr>
              <w:t>质量体系</w:t>
            </w:r>
          </w:p>
        </w:tc>
        <w:tc>
          <w:tcPr>
            <w:tcW w:type="dxa" w:w="5102"/>
            <w:shd w:val="clear" w:color="auto" w:fill="FFFFFF"/>
          </w:tcPr>
          <w:p>
            <w:pPr>
              <w:jc w:val="center"/>
            </w:pPr>
            <w:r>
              <w:rPr>
                <w:rFonts w:ascii="微软雅黑" w:hAnsi="微软雅黑" w:eastAsia="微软雅黑"/>
                <w:b w:val="0"/>
                <w:sz w:val="20"/>
              </w:rPr>
              <w:t>ISO9001质量管理体系认证</w:t>
            </w:r>
          </w:p>
        </w:tc>
      </w:tr>
      <w:tr>
        <w:tc>
          <w:tcPr>
            <w:tcW w:type="dxa" w:w="2268"/>
            <w:shd w:val="clear" w:color="auto" w:fill="DCE6F1"/>
          </w:tcPr>
          <w:p>
            <w:pPr>
              <w:jc w:val="center"/>
            </w:pPr>
            <w:r>
              <w:rPr>
                <w:rFonts w:ascii="微软雅黑" w:hAnsi="微软雅黑" w:eastAsia="微软雅黑"/>
                <w:b w:val="0"/>
                <w:sz w:val="20"/>
              </w:rPr>
              <w:t>售后服务</w:t>
            </w:r>
          </w:p>
        </w:tc>
        <w:tc>
          <w:tcPr>
            <w:tcW w:type="dxa" w:w="5102"/>
            <w:shd w:val="clear" w:color="auto" w:fill="DCE6F1"/>
          </w:tcPr>
          <w:p>
            <w:pPr>
              <w:jc w:val="center"/>
            </w:pPr>
            <w:r>
              <w:rPr>
                <w:rFonts w:ascii="微软雅黑" w:hAnsi="微软雅黑" w:eastAsia="微软雅黑"/>
                <w:b w:val="0"/>
                <w:sz w:val="20"/>
              </w:rPr>
              <w:t>省内设有服务网点或承诺响应时限</w:t>
            </w:r>
          </w:p>
        </w:tc>
      </w:tr>
    </w:tbl>
    <w:p/>
    <w:p>
      <w:pPr>
        <w:jc w:val="left"/>
      </w:pPr>
      <w:r>
        <w:rPr>
          <w:rFonts w:ascii="微软雅黑" w:hAnsi="微软雅黑" w:eastAsia="微软雅黑"/>
          <w:b/>
          <w:color w:val="000000"/>
          <w:sz w:val="28"/>
        </w:rPr>
        <w:t>6.2 技术能力要求</w:t>
      </w:r>
    </w:p>
    <w:p>
      <w:pPr>
        <w:pStyle w:val="ListBullet"/>
      </w:pPr>
      <w:r>
        <w:rPr>
          <w:rFonts w:ascii="微软雅黑" w:hAnsi="微软雅黑" w:eastAsia="微软雅黑"/>
          <w:b w:val="0"/>
          <w:sz w:val="22"/>
        </w:rPr>
        <w:t>具备一二次融合成套设备的独立研发和生产能力</w:t>
      </w:r>
    </w:p>
    <w:p>
      <w:pPr>
        <w:pStyle w:val="ListBullet"/>
      </w:pPr>
      <w:r>
        <w:rPr>
          <w:rFonts w:ascii="微软雅黑" w:hAnsi="微软雅黑" w:eastAsia="微软雅黑"/>
          <w:b w:val="0"/>
          <w:sz w:val="22"/>
        </w:rPr>
        <w:t>FTU需支持主流配电网通信规约</w:t>
      </w:r>
    </w:p>
    <w:p>
      <w:pPr>
        <w:pStyle w:val="ListBullet"/>
      </w:pPr>
      <w:r>
        <w:rPr>
          <w:rFonts w:ascii="微软雅黑" w:hAnsi="微软雅黑" w:eastAsia="微软雅黑"/>
          <w:b w:val="0"/>
          <w:sz w:val="22"/>
        </w:rPr>
        <w:t>具备配电自动化系统集成能力</w:t>
      </w:r>
    </w:p>
    <w:p>
      <w:pPr>
        <w:pStyle w:val="ListBullet"/>
      </w:pPr>
      <w:r>
        <w:rPr>
          <w:rFonts w:ascii="微软雅黑" w:hAnsi="微软雅黑" w:eastAsia="微软雅黑"/>
          <w:b w:val="0"/>
          <w:sz w:val="22"/>
        </w:rPr>
        <w:t>具备远程运维及数据接入平台能力</w:t>
      </w:r>
    </w:p>
    <w:p>
      <w:pPr>
        <w:jc w:val="left"/>
      </w:pPr>
      <w:r>
        <w:rPr>
          <w:rFonts w:ascii="微软雅黑" w:hAnsi="微软雅黑" w:eastAsia="微软雅黑"/>
          <w:b/>
          <w:color w:val="1F497D"/>
          <w:sz w:val="36"/>
        </w:rPr>
        <w:t>七、市场竞争格局分析</w:t>
      </w:r>
    </w:p>
    <w:p>
      <w:pPr>
        <w:jc w:val="left"/>
      </w:pPr>
      <w:r>
        <w:rPr>
          <w:rFonts w:ascii="微软雅黑" w:hAnsi="微软雅黑" w:eastAsia="微软雅黑"/>
          <w:b/>
          <w:color w:val="000000"/>
          <w:sz w:val="28"/>
        </w:rPr>
        <w:t>7.1 主要竞争参与者类型</w:t>
      </w:r>
    </w:p>
    <w:tbl>
      <w:tblPr>
        <w:tblStyle w:val="TableGrid"/>
        <w:tblW w:type="auto" w:w="0"/>
        <w:jc w:val="center"/>
        <w:tblLook w:firstColumn="1" w:firstRow="1" w:lastColumn="0" w:lastRow="0" w:noHBand="0" w:noVBand="1" w:val="04A0"/>
      </w:tblPr>
      <w:tblGrid>
        <w:gridCol w:w="3024"/>
        <w:gridCol w:w="3024"/>
        <w:gridCol w:w="3024"/>
      </w:tblGrid>
      <w:tr>
        <w:tc>
          <w:tcPr>
            <w:tcW w:type="dxa" w:w="2551"/>
            <w:shd w:val="clear" w:color="auto" w:fill="1F497D"/>
          </w:tcPr>
          <w:p>
            <w:pPr>
              <w:jc w:val="center"/>
            </w:pPr>
            <w:r>
              <w:rPr>
                <w:rFonts w:ascii="微软雅黑" w:hAnsi="微软雅黑" w:eastAsia="微软雅黑"/>
                <w:b/>
                <w:color w:val="FFFFFF"/>
                <w:sz w:val="20"/>
              </w:rPr>
              <w:t>企业类型</w:t>
            </w:r>
          </w:p>
        </w:tc>
        <w:tc>
          <w:tcPr>
            <w:tcW w:type="dxa" w:w="2551"/>
            <w:shd w:val="clear" w:color="auto" w:fill="1F497D"/>
          </w:tcPr>
          <w:p>
            <w:pPr>
              <w:jc w:val="center"/>
            </w:pPr>
            <w:r>
              <w:rPr>
                <w:rFonts w:ascii="微软雅黑" w:hAnsi="微软雅黑" w:eastAsia="微软雅黑"/>
                <w:b/>
                <w:color w:val="FFFFFF"/>
                <w:sz w:val="20"/>
              </w:rPr>
              <w:t>特征</w:t>
            </w:r>
          </w:p>
        </w:tc>
        <w:tc>
          <w:tcPr>
            <w:tcW w:type="dxa" w:w="2551"/>
            <w:shd w:val="clear" w:color="auto" w:fill="1F497D"/>
          </w:tcPr>
          <w:p>
            <w:pPr>
              <w:jc w:val="center"/>
            </w:pPr>
            <w:r>
              <w:rPr>
                <w:rFonts w:ascii="微软雅黑" w:hAnsi="微软雅黑" w:eastAsia="微软雅黑"/>
                <w:b/>
                <w:color w:val="FFFFFF"/>
                <w:sz w:val="20"/>
              </w:rPr>
              <w:t>竞争优势</w:t>
            </w:r>
          </w:p>
        </w:tc>
      </w:tr>
      <w:tr>
        <w:tc>
          <w:tcPr>
            <w:tcW w:type="dxa" w:w="2551"/>
            <w:shd w:val="clear" w:color="auto" w:fill="DCE6F1"/>
          </w:tcPr>
          <w:p>
            <w:pPr>
              <w:jc w:val="center"/>
            </w:pPr>
            <w:r>
              <w:rPr>
                <w:rFonts w:ascii="微软雅黑" w:hAnsi="微软雅黑" w:eastAsia="微软雅黑"/>
                <w:b w:val="0"/>
                <w:sz w:val="20"/>
              </w:rPr>
              <w:t>传统一次设备龙头</w:t>
              <w:br/>
              <w:t>（如平高、思源）</w:t>
            </w:r>
          </w:p>
        </w:tc>
        <w:tc>
          <w:tcPr>
            <w:tcW w:type="dxa" w:w="2551"/>
            <w:shd w:val="clear" w:color="auto" w:fill="DCE6F1"/>
          </w:tcPr>
          <w:p>
            <w:pPr>
              <w:jc w:val="center"/>
            </w:pPr>
            <w:r>
              <w:rPr>
                <w:rFonts w:ascii="微软雅黑" w:hAnsi="微软雅黑" w:eastAsia="微软雅黑"/>
                <w:b w:val="0"/>
                <w:sz w:val="20"/>
              </w:rPr>
              <w:t>一次设备技术积累深厚</w:t>
            </w:r>
          </w:p>
        </w:tc>
        <w:tc>
          <w:tcPr>
            <w:tcW w:type="dxa" w:w="2551"/>
            <w:shd w:val="clear" w:color="auto" w:fill="DCE6F1"/>
          </w:tcPr>
          <w:p>
            <w:pPr>
              <w:jc w:val="center"/>
            </w:pPr>
            <w:r>
              <w:rPr>
                <w:rFonts w:ascii="微软雅黑" w:hAnsi="微软雅黑" w:eastAsia="微软雅黑"/>
                <w:b w:val="0"/>
                <w:sz w:val="20"/>
              </w:rPr>
              <w:t>一次侧质量稳定、产能充足</w:t>
            </w:r>
          </w:p>
        </w:tc>
      </w:tr>
      <w:tr>
        <w:tc>
          <w:tcPr>
            <w:tcW w:type="dxa" w:w="2551"/>
            <w:shd w:val="clear" w:color="auto" w:fill="FFFFFF"/>
          </w:tcPr>
          <w:p>
            <w:pPr>
              <w:jc w:val="center"/>
            </w:pPr>
            <w:r>
              <w:rPr>
                <w:rFonts w:ascii="微软雅黑" w:hAnsi="微软雅黑" w:eastAsia="微软雅黑"/>
                <w:b w:val="0"/>
                <w:sz w:val="20"/>
              </w:rPr>
              <w:t>二次设备龙头</w:t>
              <w:br/>
              <w:t>（如南瑞、许继）</w:t>
            </w:r>
          </w:p>
        </w:tc>
        <w:tc>
          <w:tcPr>
            <w:tcW w:type="dxa" w:w="2551"/>
            <w:shd w:val="clear" w:color="auto" w:fill="FFFFFF"/>
          </w:tcPr>
          <w:p>
            <w:pPr>
              <w:jc w:val="center"/>
            </w:pPr>
            <w:r>
              <w:rPr>
                <w:rFonts w:ascii="微软雅黑" w:hAnsi="微软雅黑" w:eastAsia="微软雅黑"/>
                <w:b w:val="0"/>
                <w:sz w:val="20"/>
              </w:rPr>
              <w:t>配网自动化技术领先</w:t>
            </w:r>
          </w:p>
        </w:tc>
        <w:tc>
          <w:tcPr>
            <w:tcW w:type="dxa" w:w="2551"/>
            <w:shd w:val="clear" w:color="auto" w:fill="FFFFFF"/>
          </w:tcPr>
          <w:p>
            <w:pPr>
              <w:jc w:val="center"/>
            </w:pPr>
            <w:r>
              <w:rPr>
                <w:rFonts w:ascii="微软雅黑" w:hAnsi="微软雅黑" w:eastAsia="微软雅黑"/>
                <w:b w:val="0"/>
                <w:sz w:val="20"/>
              </w:rPr>
              <w:t>FTU/配电主站系统能力强</w:t>
            </w:r>
          </w:p>
        </w:tc>
      </w:tr>
      <w:tr>
        <w:tc>
          <w:tcPr>
            <w:tcW w:type="dxa" w:w="2551"/>
            <w:shd w:val="clear" w:color="auto" w:fill="DCE6F1"/>
          </w:tcPr>
          <w:p>
            <w:pPr>
              <w:jc w:val="center"/>
            </w:pPr>
            <w:r>
              <w:rPr>
                <w:rFonts w:ascii="微软雅黑" w:hAnsi="微软雅黑" w:eastAsia="微软雅黑"/>
                <w:b w:val="0"/>
                <w:sz w:val="20"/>
              </w:rPr>
              <w:t>一二次融合专业厂商</w:t>
            </w:r>
          </w:p>
        </w:tc>
        <w:tc>
          <w:tcPr>
            <w:tcW w:type="dxa" w:w="2551"/>
            <w:shd w:val="clear" w:color="auto" w:fill="DCE6F1"/>
          </w:tcPr>
          <w:p>
            <w:pPr>
              <w:jc w:val="center"/>
            </w:pPr>
            <w:r>
              <w:rPr>
                <w:rFonts w:ascii="微软雅黑" w:hAnsi="微软雅黑" w:eastAsia="微软雅黑"/>
                <w:b w:val="0"/>
                <w:sz w:val="20"/>
              </w:rPr>
              <w:t>专注融合集成方案</w:t>
            </w:r>
          </w:p>
        </w:tc>
        <w:tc>
          <w:tcPr>
            <w:tcW w:type="dxa" w:w="2551"/>
            <w:shd w:val="clear" w:color="auto" w:fill="DCE6F1"/>
          </w:tcPr>
          <w:p>
            <w:pPr>
              <w:jc w:val="center"/>
            </w:pPr>
            <w:r>
              <w:rPr>
                <w:rFonts w:ascii="微软雅黑" w:hAnsi="微软雅黑" w:eastAsia="微软雅黑"/>
                <w:b w:val="0"/>
                <w:sz w:val="20"/>
              </w:rPr>
              <w:t>集成度高、适配性好</w:t>
            </w:r>
          </w:p>
        </w:tc>
      </w:tr>
      <w:tr>
        <w:tc>
          <w:tcPr>
            <w:tcW w:type="dxa" w:w="2551"/>
            <w:shd w:val="clear" w:color="auto" w:fill="FFFFFF"/>
          </w:tcPr>
          <w:p>
            <w:pPr>
              <w:jc w:val="center"/>
            </w:pPr>
            <w:r>
              <w:rPr>
                <w:rFonts w:ascii="微软雅黑" w:hAnsi="微软雅黑" w:eastAsia="微软雅黑"/>
                <w:b w:val="0"/>
                <w:sz w:val="20"/>
              </w:rPr>
              <w:t>区域性中小企业</w:t>
            </w:r>
          </w:p>
        </w:tc>
        <w:tc>
          <w:tcPr>
            <w:tcW w:type="dxa" w:w="2551"/>
            <w:shd w:val="clear" w:color="auto" w:fill="FFFFFF"/>
          </w:tcPr>
          <w:p>
            <w:pPr>
              <w:jc w:val="center"/>
            </w:pPr>
            <w:r>
              <w:rPr>
                <w:rFonts w:ascii="微软雅黑" w:hAnsi="微软雅黑" w:eastAsia="微软雅黑"/>
                <w:b w:val="0"/>
                <w:sz w:val="20"/>
              </w:rPr>
              <w:t>地方资源深厚</w:t>
            </w:r>
          </w:p>
        </w:tc>
        <w:tc>
          <w:tcPr>
            <w:tcW w:type="dxa" w:w="2551"/>
            <w:shd w:val="clear" w:color="auto" w:fill="FFFFFF"/>
          </w:tcPr>
          <w:p>
            <w:pPr>
              <w:jc w:val="center"/>
            </w:pPr>
            <w:r>
              <w:rPr>
                <w:rFonts w:ascii="微软雅黑" w:hAnsi="微软雅黑" w:eastAsia="微软雅黑"/>
                <w:b w:val="0"/>
                <w:sz w:val="20"/>
              </w:rPr>
              <w:t>售后服务响应快</w:t>
            </w:r>
          </w:p>
        </w:tc>
      </w:tr>
    </w:tbl>
    <w:p/>
    <w:p>
      <w:pPr>
        <w:jc w:val="left"/>
      </w:pPr>
      <w:r>
        <w:rPr>
          <w:rFonts w:ascii="微软雅黑" w:hAnsi="微软雅黑" w:eastAsia="微软雅黑"/>
          <w:b/>
          <w:color w:val="000000"/>
          <w:sz w:val="28"/>
        </w:rPr>
        <w:t>7.2 市场竞争态势</w:t>
      </w:r>
    </w:p>
    <w:p>
      <w:r>
        <w:rPr>
          <w:rFonts w:ascii="微软雅黑" w:hAnsi="微软雅黑" w:eastAsia="微软雅黑"/>
          <w:b/>
          <w:sz w:val="22"/>
        </w:rPr>
        <w:t>头部集中：</w:t>
      </w:r>
    </w:p>
    <w:p>
      <w:r>
        <w:rPr>
          <w:rFonts w:ascii="微软雅黑" w:hAnsi="微软雅黑" w:eastAsia="微软雅黑"/>
          <w:b w:val="0"/>
          <w:sz w:val="22"/>
        </w:rPr>
        <w:t>270,961只的招标体量对供应商的产能、供应链管理提出了极高要求，头部企业凭借规模效应和资质优势，占据主要市场份额。</w:t>
      </w:r>
    </w:p>
    <w:p>
      <w:r>
        <w:rPr>
          <w:rFonts w:ascii="微软雅黑" w:hAnsi="微软雅黑" w:eastAsia="微软雅黑"/>
          <w:b/>
          <w:sz w:val="22"/>
        </w:rPr>
        <w:t>技术分化：</w:t>
      </w:r>
    </w:p>
    <w:p>
      <w:r>
        <w:rPr>
          <w:rFonts w:ascii="微软雅黑" w:hAnsi="微软雅黑" w:eastAsia="微软雅黑"/>
          <w:b w:val="0"/>
          <w:sz w:val="22"/>
        </w:rPr>
        <w:t>在一二次融合深度标准尚未完全统一的窗口期，具备自主核心技术（尤其是FTU核心算法、通信安全）的企业在评标中占优。</w:t>
      </w:r>
    </w:p>
    <w:p>
      <w:r>
        <w:rPr>
          <w:rFonts w:ascii="微软雅黑" w:hAnsi="微软雅黑" w:eastAsia="微软雅黑"/>
          <w:b/>
          <w:sz w:val="22"/>
        </w:rPr>
        <w:t>价格竞争：</w:t>
      </w:r>
    </w:p>
    <w:p>
      <w:r>
        <w:rPr>
          <w:rFonts w:ascii="微软雅黑" w:hAnsi="微软雅黑" w:eastAsia="微软雅黑"/>
          <w:b w:val="0"/>
          <w:sz w:val="22"/>
        </w:rPr>
        <w:t>59亿市场规模下，价格竞争依然激烈，但随着业主对全生命周期成本（TCO）的重视，综合性价比成为核心评判维度。</w:t>
      </w:r>
    </w:p>
    <w:p>
      <w:pPr>
        <w:jc w:val="left"/>
      </w:pPr>
      <w:r>
        <w:rPr>
          <w:rFonts w:ascii="微软雅黑" w:hAnsi="微软雅黑" w:eastAsia="微软雅黑"/>
          <w:b/>
          <w:color w:val="1F497D"/>
          <w:sz w:val="36"/>
        </w:rPr>
        <w:t>八、市场展望</w:t>
      </w:r>
    </w:p>
    <w:p>
      <w:pPr>
        <w:jc w:val="left"/>
      </w:pPr>
      <w:r>
        <w:rPr>
          <w:rFonts w:ascii="微软雅黑" w:hAnsi="微软雅黑" w:eastAsia="微软雅黑"/>
          <w:b/>
          <w:color w:val="000000"/>
          <w:sz w:val="28"/>
        </w:rPr>
        <w:t>8.1 短期（2026年全年）</w:t>
      </w:r>
    </w:p>
    <w:p>
      <w:pPr>
        <w:pStyle w:val="ListBullet"/>
      </w:pPr>
      <w:r>
        <w:rPr>
          <w:rFonts w:ascii="微软雅黑" w:hAnsi="微软雅黑" w:eastAsia="微软雅黑"/>
          <w:b w:val="0"/>
          <w:sz w:val="22"/>
        </w:rPr>
        <w:t>招标规模：预计全年两批次区域联合招标总量将超过50万只，全年市场规模有望突破120亿元</w:t>
      </w:r>
    </w:p>
    <w:p>
      <w:pPr>
        <w:pStyle w:val="ListBullet"/>
      </w:pPr>
      <w:r>
        <w:rPr>
          <w:rFonts w:ascii="微软雅黑" w:hAnsi="微软雅黑" w:eastAsia="微软雅黑"/>
          <w:b w:val="0"/>
          <w:sz w:val="22"/>
        </w:rPr>
        <w:t>价格趋势：在原材料价格趋稳、产能持续扩张背景下，预计综合中标价格将小幅下行</w:t>
      </w:r>
    </w:p>
    <w:p>
      <w:pPr>
        <w:pStyle w:val="ListBullet"/>
      </w:pPr>
      <w:r>
        <w:rPr>
          <w:rFonts w:ascii="微软雅黑" w:hAnsi="微软雅黑" w:eastAsia="微软雅黑"/>
          <w:b w:val="0"/>
          <w:sz w:val="22"/>
        </w:rPr>
        <w:t>技术趋势：一二次深度融合、IP67防护、5G通信模组集成将成为主流技术路线</w:t>
      </w:r>
    </w:p>
    <w:p>
      <w:pPr>
        <w:jc w:val="left"/>
      </w:pPr>
      <w:r>
        <w:rPr>
          <w:rFonts w:ascii="微软雅黑" w:hAnsi="微软雅黑" w:eastAsia="微软雅黑"/>
          <w:b/>
          <w:color w:val="000000"/>
          <w:sz w:val="28"/>
        </w:rPr>
        <w:t>8.2 中期（2027-2028年）</w:t>
      </w:r>
    </w:p>
    <w:p>
      <w:pPr>
        <w:pStyle w:val="ListBullet"/>
      </w:pPr>
      <w:r>
        <w:rPr>
          <w:rFonts w:ascii="微软雅黑" w:hAnsi="微软雅黑" w:eastAsia="微软雅黑"/>
          <w:b w:val="0"/>
          <w:sz w:val="22"/>
        </w:rPr>
        <w:t>配电网改造深化：随着"十四五"收官，"十五五"规划启动，配电网投资力度预计持续加大</w:t>
      </w:r>
    </w:p>
    <w:p>
      <w:pPr>
        <w:pStyle w:val="ListBullet"/>
      </w:pPr>
      <w:r>
        <w:rPr>
          <w:rFonts w:ascii="微软雅黑" w:hAnsi="微软雅黑" w:eastAsia="微软雅黑"/>
          <w:b w:val="0"/>
          <w:sz w:val="22"/>
        </w:rPr>
        <w:t>新能源接入需求：分布式光伏、储能并网对柱上断路器的保护逻辑、自动化水平提出更高要求</w:t>
      </w:r>
    </w:p>
    <w:p>
      <w:pPr>
        <w:pStyle w:val="ListBullet"/>
      </w:pPr>
      <w:r>
        <w:rPr>
          <w:rFonts w:ascii="微软雅黑" w:hAnsi="微软雅黑" w:eastAsia="微软雅黑"/>
          <w:b w:val="0"/>
          <w:sz w:val="22"/>
        </w:rPr>
        <w:t>智能化升级：就地化智能配电终端、边缘计算在柱上断路器中的应用将加速</w:t>
      </w:r>
    </w:p>
    <w:p>
      <w:pPr>
        <w:jc w:val="left"/>
      </w:pPr>
      <w:r>
        <w:rPr>
          <w:rFonts w:ascii="微软雅黑" w:hAnsi="微软雅黑" w:eastAsia="微软雅黑"/>
          <w:b/>
          <w:color w:val="000000"/>
          <w:sz w:val="28"/>
        </w:rPr>
        <w:t>8.3 长期（2029年及以后）</w:t>
      </w:r>
    </w:p>
    <w:p>
      <w:pPr>
        <w:pStyle w:val="ListBullet"/>
      </w:pPr>
      <w:r>
        <w:rPr>
          <w:rFonts w:ascii="微软雅黑" w:hAnsi="微软雅黑" w:eastAsia="微软雅黑"/>
          <w:b w:val="0"/>
          <w:sz w:val="22"/>
        </w:rPr>
        <w:t>配电网物联：柱上断路器作为配电物联网的关键节点，将承载更多传感器集成与边缘计算功能</w:t>
      </w:r>
    </w:p>
    <w:p>
      <w:pPr>
        <w:pStyle w:val="ListBullet"/>
      </w:pPr>
      <w:r>
        <w:rPr>
          <w:rFonts w:ascii="微软雅黑" w:hAnsi="微软雅黑" w:eastAsia="微软雅黑"/>
          <w:b w:val="0"/>
          <w:sz w:val="22"/>
        </w:rPr>
        <w:t>标准统一：一二次融合技术标准将逐步统一，跨厂商互联互通成为可能</w:t>
      </w:r>
    </w:p>
    <w:p>
      <w:pPr>
        <w:pStyle w:val="ListBullet"/>
      </w:pPr>
      <w:r>
        <w:rPr>
          <w:rFonts w:ascii="微软雅黑" w:hAnsi="微软雅黑" w:eastAsia="微软雅黑"/>
          <w:b w:val="0"/>
          <w:sz w:val="22"/>
        </w:rPr>
        <w:t>运维模式变革：远程智能运维、预测性维护将重塑设备全生命周期管理逻辑</w:t>
      </w:r>
    </w:p>
    <w:p>
      <w:pPr>
        <w:jc w:val="left"/>
      </w:pPr>
      <w:r>
        <w:rPr>
          <w:rFonts w:ascii="微软雅黑" w:hAnsi="微软雅黑" w:eastAsia="微软雅黑"/>
          <w:b/>
          <w:color w:val="1F497D"/>
          <w:sz w:val="36"/>
        </w:rPr>
        <w:t>九、核心结论</w:t>
      </w:r>
    </w:p>
    <w:tbl>
      <w:tblPr>
        <w:tblStyle w:val="TableGrid"/>
        <w:tblW w:type="auto" w:w="0"/>
        <w:jc w:val="center"/>
        <w:tblLook w:firstColumn="1" w:firstRow="1" w:lastColumn="0" w:lastRow="0" w:noHBand="0" w:noVBand="1" w:val="04A0"/>
      </w:tblPr>
      <w:tblGrid>
        <w:gridCol w:w="4536"/>
        <w:gridCol w:w="4536"/>
      </w:tblGrid>
      <w:tr>
        <w:tc>
          <w:tcPr>
            <w:tcW w:type="dxa" w:w="1984"/>
            <w:shd w:val="clear" w:color="auto" w:fill="1F497D"/>
          </w:tcPr>
          <w:p>
            <w:pPr>
              <w:jc w:val="center"/>
            </w:pPr>
            <w:r>
              <w:rPr>
                <w:rFonts w:ascii="微软雅黑" w:hAnsi="微软雅黑" w:eastAsia="微软雅黑"/>
                <w:b/>
                <w:color w:val="FFFFFF"/>
                <w:sz w:val="20"/>
              </w:rPr>
              <w:t>结论维度</w:t>
            </w:r>
          </w:p>
        </w:tc>
        <w:tc>
          <w:tcPr>
            <w:tcW w:type="dxa" w:w="5669"/>
            <w:shd w:val="clear" w:color="auto" w:fill="1F497D"/>
          </w:tcPr>
          <w:p>
            <w:pPr>
              <w:jc w:val="center"/>
            </w:pPr>
            <w:r>
              <w:rPr>
                <w:rFonts w:ascii="微软雅黑" w:hAnsi="微软雅黑" w:eastAsia="微软雅黑"/>
                <w:b/>
                <w:color w:val="FFFFFF"/>
                <w:sz w:val="20"/>
              </w:rPr>
              <w:t>核心观点</w:t>
            </w:r>
          </w:p>
        </w:tc>
      </w:tr>
      <w:tr>
        <w:tc>
          <w:tcPr>
            <w:tcW w:type="dxa" w:w="1984"/>
            <w:shd w:val="clear" w:color="auto" w:fill="DCE6F1"/>
          </w:tcPr>
          <w:p>
            <w:pPr>
              <w:jc w:val="center"/>
            </w:pPr>
            <w:r>
              <w:rPr>
                <w:rFonts w:ascii="微软雅黑" w:hAnsi="微软雅黑" w:eastAsia="微软雅黑"/>
                <w:b w:val="0"/>
                <w:sz w:val="20"/>
              </w:rPr>
              <w:t>市场规模</w:t>
            </w:r>
          </w:p>
        </w:tc>
        <w:tc>
          <w:tcPr>
            <w:tcW w:type="dxa" w:w="5669"/>
            <w:shd w:val="clear" w:color="auto" w:fill="DCE6F1"/>
          </w:tcPr>
          <w:p>
            <w:pPr>
              <w:jc w:val="center"/>
            </w:pPr>
            <w:r>
              <w:rPr>
                <w:rFonts w:ascii="微软雅黑" w:hAnsi="微软雅黑" w:eastAsia="微软雅黑"/>
                <w:b w:val="0"/>
                <w:sz w:val="20"/>
              </w:rPr>
              <w:t>59亿元首批规模，全年有望超120亿，长周期持续增长</w:t>
            </w:r>
          </w:p>
        </w:tc>
      </w:tr>
      <w:tr>
        <w:tc>
          <w:tcPr>
            <w:tcW w:type="dxa" w:w="1984"/>
            <w:shd w:val="clear" w:color="auto" w:fill="FFFFFF"/>
          </w:tcPr>
          <w:p>
            <w:pPr>
              <w:jc w:val="center"/>
            </w:pPr>
            <w:r>
              <w:rPr>
                <w:rFonts w:ascii="微软雅黑" w:hAnsi="微软雅黑" w:eastAsia="微软雅黑"/>
                <w:b w:val="0"/>
                <w:sz w:val="20"/>
              </w:rPr>
              <w:t>区域格局</w:t>
            </w:r>
          </w:p>
        </w:tc>
        <w:tc>
          <w:tcPr>
            <w:tcW w:type="dxa" w:w="5669"/>
            <w:shd w:val="clear" w:color="auto" w:fill="FFFFFF"/>
          </w:tcPr>
          <w:p>
            <w:pPr>
              <w:jc w:val="center"/>
            </w:pPr>
            <w:r>
              <w:rPr>
                <w:rFonts w:ascii="微软雅黑" w:hAnsi="微软雅黑" w:eastAsia="微软雅黑"/>
                <w:b w:val="0"/>
                <w:sz w:val="20"/>
              </w:rPr>
              <w:t>苏豫皖三省占40.8%，西部区域占比提升明显</w:t>
            </w:r>
          </w:p>
        </w:tc>
      </w:tr>
      <w:tr>
        <w:tc>
          <w:tcPr>
            <w:tcW w:type="dxa" w:w="1984"/>
            <w:shd w:val="clear" w:color="auto" w:fill="DCE6F1"/>
          </w:tcPr>
          <w:p>
            <w:pPr>
              <w:jc w:val="center"/>
            </w:pPr>
            <w:r>
              <w:rPr>
                <w:rFonts w:ascii="微软雅黑" w:hAnsi="微软雅黑" w:eastAsia="微软雅黑"/>
                <w:b w:val="0"/>
                <w:sz w:val="20"/>
              </w:rPr>
              <w:t>技术趋势</w:t>
            </w:r>
          </w:p>
        </w:tc>
        <w:tc>
          <w:tcPr>
            <w:tcW w:type="dxa" w:w="5669"/>
            <w:shd w:val="clear" w:color="auto" w:fill="DCE6F1"/>
          </w:tcPr>
          <w:p>
            <w:pPr>
              <w:jc w:val="center"/>
            </w:pPr>
            <w:r>
              <w:rPr>
                <w:rFonts w:ascii="微软雅黑" w:hAnsi="微软雅黑" w:eastAsia="微软雅黑"/>
                <w:b w:val="0"/>
                <w:sz w:val="20"/>
              </w:rPr>
              <w:t>户外型主导（76%），一二次深度融合、智能化是方向</w:t>
            </w:r>
          </w:p>
        </w:tc>
      </w:tr>
      <w:tr>
        <w:tc>
          <w:tcPr>
            <w:tcW w:type="dxa" w:w="1984"/>
            <w:shd w:val="clear" w:color="auto" w:fill="FFFFFF"/>
          </w:tcPr>
          <w:p>
            <w:pPr>
              <w:jc w:val="center"/>
            </w:pPr>
            <w:r>
              <w:rPr>
                <w:rFonts w:ascii="微软雅黑" w:hAnsi="微软雅黑" w:eastAsia="微软雅黑"/>
                <w:b w:val="0"/>
                <w:sz w:val="20"/>
              </w:rPr>
              <w:t>竞争态势</w:t>
            </w:r>
          </w:p>
        </w:tc>
        <w:tc>
          <w:tcPr>
            <w:tcW w:type="dxa" w:w="5669"/>
            <w:shd w:val="clear" w:color="auto" w:fill="FFFFFF"/>
          </w:tcPr>
          <w:p>
            <w:pPr>
              <w:jc w:val="center"/>
            </w:pPr>
            <w:r>
              <w:rPr>
                <w:rFonts w:ascii="微软雅黑" w:hAnsi="微软雅黑" w:eastAsia="微软雅黑"/>
                <w:b w:val="0"/>
                <w:sz w:val="20"/>
              </w:rPr>
              <w:t>头部集中、技术分化、综合性价比决胜</w:t>
            </w:r>
          </w:p>
        </w:tc>
      </w:tr>
      <w:tr>
        <w:tc>
          <w:tcPr>
            <w:tcW w:type="dxa" w:w="1984"/>
            <w:shd w:val="clear" w:color="auto" w:fill="DCE6F1"/>
          </w:tcPr>
          <w:p>
            <w:pPr>
              <w:jc w:val="center"/>
            </w:pPr>
            <w:r>
              <w:rPr>
                <w:rFonts w:ascii="微软雅黑" w:hAnsi="微软雅黑" w:eastAsia="微软雅黑"/>
                <w:b w:val="0"/>
                <w:sz w:val="20"/>
              </w:rPr>
              <w:t>长期逻辑</w:t>
            </w:r>
          </w:p>
        </w:tc>
        <w:tc>
          <w:tcPr>
            <w:tcW w:type="dxa" w:w="5669"/>
            <w:shd w:val="clear" w:color="auto" w:fill="DCE6F1"/>
          </w:tcPr>
          <w:p>
            <w:pPr>
              <w:jc w:val="center"/>
            </w:pPr>
            <w:r>
              <w:rPr>
                <w:rFonts w:ascii="微软雅黑" w:hAnsi="微软雅黑" w:eastAsia="微软雅黑"/>
                <w:b w:val="0"/>
                <w:sz w:val="20"/>
              </w:rPr>
              <w:t>配电网智能化改造+新能源接入双轮驱动，行业景气延续</w:t>
            </w:r>
          </w:p>
        </w:tc>
      </w:tr>
    </w:tbl>
    <w:p/>
    <w:p/>
    <w:p>
      <w:pPr>
        <w:jc w:val="center"/>
      </w:pPr>
      <w:r>
        <w:rPr>
          <w:rFonts w:ascii="微软雅黑" w:hAnsi="微软雅黑" w:eastAsia="微软雅黑"/>
          <w:b w:val="0"/>
          <w:color w:val="808080"/>
          <w:sz w:val="20"/>
        </w:rPr>
        <w:t>— END OF REPORT —</w:t>
      </w:r>
    </w:p>
    <w:p>
      <w:pPr>
        <w:jc w:val="center"/>
      </w:pPr>
      <w:r>
        <w:rPr>
          <w:rFonts w:ascii="微软雅黑" w:hAnsi="微软雅黑" w:eastAsia="微软雅黑"/>
          <w:b w:val="0"/>
          <w:color w:val="808080"/>
          <w:sz w:val="18"/>
        </w:rPr>
        <w:t>本报告基于"电力喵"微信公众号公开招标数据整理分析，数据截止至2026年第一批区域联合招标，信息仅供参考，不构成投资建议。</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